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062CFC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0</w:t>
            </w:r>
            <w:r w:rsidR="00441A6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8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426B0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ноября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28444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062CFC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426B0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3</w:t>
            </w:r>
            <w:r w:rsidR="00AB173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C04B14">
        <w:rPr>
          <w:rFonts w:eastAsia="Microsoft Sans Serif"/>
          <w:color w:val="000000"/>
          <w:sz w:val="28"/>
          <w:szCs w:val="28"/>
        </w:rPr>
        <w:t>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062CFC">
        <w:rPr>
          <w:sz w:val="28"/>
        </w:rPr>
        <w:t>0</w:t>
      </w:r>
      <w:r w:rsidR="00441A66">
        <w:rPr>
          <w:sz w:val="28"/>
        </w:rPr>
        <w:t>8</w:t>
      </w:r>
      <w:r w:rsidR="00F53A02">
        <w:rPr>
          <w:sz w:val="28"/>
        </w:rPr>
        <w:t>.</w:t>
      </w:r>
      <w:r w:rsidR="00426B02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284441">
        <w:rPr>
          <w:sz w:val="28"/>
        </w:rPr>
        <w:t>2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062CFC">
        <w:rPr>
          <w:sz w:val="28"/>
        </w:rPr>
        <w:t>1</w:t>
      </w:r>
      <w:r w:rsidR="00426B02">
        <w:rPr>
          <w:sz w:val="28"/>
        </w:rPr>
        <w:t>3</w:t>
      </w:r>
      <w:r w:rsidR="00AB1731">
        <w:rPr>
          <w:sz w:val="28"/>
        </w:rPr>
        <w:t>9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38553,3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6233,8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B2E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37878,9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6183,8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3B4A48">
              <w:rPr>
                <w:sz w:val="28"/>
                <w:szCs w:val="28"/>
                <w:lang w:eastAsia="ar-SA"/>
              </w:rPr>
              <w:t>3</w:t>
            </w:r>
            <w:r w:rsidR="00FB2E68">
              <w:rPr>
                <w:sz w:val="28"/>
                <w:szCs w:val="28"/>
                <w:lang w:eastAsia="ar-SA"/>
              </w:rPr>
              <w:t>7747,3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233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5427,8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B2E6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37072,9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5377,8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1.3. 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FB2E68">
              <w:rPr>
                <w:sz w:val="28"/>
                <w:szCs w:val="28"/>
                <w:lang w:eastAsia="ar-SA"/>
              </w:rPr>
              <w:t>806,0</w:t>
            </w:r>
            <w:r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0649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9A4F73" w:rsidRPr="00A81787" w:rsidRDefault="009A4F73" w:rsidP="003B4A4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B2E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806,0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806,0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0649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A4F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lastRenderedPageBreak/>
        <w:t>2.</w:t>
      </w:r>
      <w:r w:rsidR="00596E4A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FB2E68" w:rsidP="003013EE">
            <w:pPr>
              <w:jc w:val="center"/>
            </w:pPr>
            <w:r>
              <w:t>38553,3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FB2E68" w:rsidP="003013EE">
            <w:pPr>
              <w:jc w:val="center"/>
            </w:pPr>
            <w:r>
              <w:t>6233,8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EB359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FB2E68" w:rsidP="00EB3594">
            <w:pPr>
              <w:jc w:val="center"/>
            </w:pPr>
            <w:r>
              <w:t>38553,3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FB2E68" w:rsidP="00EB3594">
            <w:pPr>
              <w:jc w:val="center"/>
            </w:pPr>
            <w:r>
              <w:t>6233,8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804A09">
              <w:t>2294,8</w:t>
            </w:r>
          </w:p>
        </w:tc>
      </w:tr>
      <w:tr w:rsidR="00BF0DF5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F5" w:rsidRPr="001336EA" w:rsidRDefault="00BF0DF5" w:rsidP="00BF0DF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DF5" w:rsidRPr="001336EA" w:rsidRDefault="00BF0DF5" w:rsidP="00BF0DF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Default="00BF0DF5" w:rsidP="00BF0DF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F5" w:rsidRPr="001336EA" w:rsidRDefault="00BF0DF5" w:rsidP="00BF0DF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FB2E68" w:rsidP="00BF0DF5">
            <w:pPr>
              <w:jc w:val="center"/>
            </w:pPr>
            <w:r>
              <w:t>38553,3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FB2E68" w:rsidP="00BF0DF5">
            <w:pPr>
              <w:jc w:val="center"/>
            </w:pPr>
            <w:r>
              <w:t>6233,8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Pr="003E31E1" w:rsidRDefault="00BF0DF5" w:rsidP="00BF0DF5">
            <w:pPr>
              <w:jc w:val="center"/>
            </w:pPr>
            <w:r w:rsidRPr="003E31E1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F5" w:rsidRDefault="00BF0DF5" w:rsidP="00BF0DF5">
            <w:pPr>
              <w:jc w:val="center"/>
            </w:pPr>
            <w:r w:rsidRPr="003E31E1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3035DA" w:rsidP="00F4003F">
            <w:pPr>
              <w:jc w:val="center"/>
            </w:pPr>
            <w:r>
              <w:t>37747,3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3035DA" w:rsidP="00F4003F">
            <w:pPr>
              <w:jc w:val="center"/>
            </w:pPr>
            <w:r>
              <w:t>5427,8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3035DA" w:rsidP="00EB3594">
            <w:pPr>
              <w:jc w:val="center"/>
            </w:pPr>
            <w:r>
              <w:t>37747,3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3035DA" w:rsidP="00EB3594">
            <w:pPr>
              <w:jc w:val="center"/>
            </w:pPr>
            <w:r>
              <w:t>5427,8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130926">
              <w:t>2294,8</w:t>
            </w:r>
          </w:p>
        </w:tc>
      </w:tr>
      <w:tr w:rsidR="003035DA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5DA" w:rsidRPr="001336EA" w:rsidRDefault="003035DA" w:rsidP="003035D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DA" w:rsidRPr="001336EA" w:rsidRDefault="003035DA" w:rsidP="003035D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C4035D" w:rsidRDefault="003035DA" w:rsidP="003035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Default="003035DA" w:rsidP="003035DA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DA" w:rsidRPr="001336EA" w:rsidRDefault="003035DA" w:rsidP="003035D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37747,3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5427,8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Pr="006C246A" w:rsidRDefault="003035DA" w:rsidP="003035DA">
            <w:pPr>
              <w:jc w:val="center"/>
            </w:pPr>
            <w:r w:rsidRPr="006C246A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DA" w:rsidRDefault="003035DA" w:rsidP="003035DA">
            <w:pPr>
              <w:jc w:val="center"/>
            </w:pPr>
            <w:r w:rsidRPr="006C246A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445504" w:rsidRPr="00E779E0" w:rsidRDefault="00445504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 w:rsidRPr="00E779E0">
              <w:rPr>
                <w:sz w:val="18"/>
                <w:szCs w:val="18"/>
                <w:lang w:val="en-US"/>
              </w:rPr>
              <w:t>S3290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</w:rPr>
              <w:t>0059</w:t>
            </w:r>
            <w:r w:rsidRPr="00E779E0">
              <w:rPr>
                <w:sz w:val="18"/>
                <w:szCs w:val="18"/>
              </w:rPr>
              <w:t>0</w:t>
            </w:r>
          </w:p>
          <w:p w:rsidR="00E779E0" w:rsidRPr="00E779E0" w:rsidRDefault="00E779E0" w:rsidP="00E779E0">
            <w:pPr>
              <w:rPr>
                <w:sz w:val="18"/>
                <w:szCs w:val="18"/>
              </w:rPr>
            </w:pPr>
            <w:r w:rsidRPr="00E779E0">
              <w:rPr>
                <w:sz w:val="18"/>
                <w:szCs w:val="18"/>
              </w:rPr>
              <w:t>0410026280</w:t>
            </w:r>
          </w:p>
          <w:p w:rsidR="00D61C1A" w:rsidRPr="00D61C1A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E779E0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E779E0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E7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35DA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1067,5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E779E0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1033,5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2E68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68" w:rsidRPr="001336EA" w:rsidRDefault="00FB2E68" w:rsidP="00FB2E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1336EA" w:rsidRDefault="00FB2E68" w:rsidP="00FB2E6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C4035D" w:rsidRDefault="00FB2E68" w:rsidP="00FB2E6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FB2E68" w:rsidRPr="00B82E85" w:rsidRDefault="00FB2E68" w:rsidP="00FB2E6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Default="00FB2E68" w:rsidP="00FB2E6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1336EA" w:rsidRDefault="00FB2E68" w:rsidP="00FB2E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39330E" w:rsidRDefault="00FB2E68" w:rsidP="00FB2E6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B82E85" w:rsidRDefault="00FB2E68" w:rsidP="00FB2E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36379,7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4133,0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3035DA" w:rsidP="00FB2E68">
            <w:pPr>
              <w:jc w:val="center"/>
            </w:pPr>
            <w:r w:rsidRPr="00274E0E">
              <w:t>4244,3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8" w:rsidRPr="00274E0E" w:rsidRDefault="00FB2E68" w:rsidP="00FB2E68">
            <w:pPr>
              <w:jc w:val="center"/>
            </w:pPr>
            <w:r w:rsidRPr="00274E0E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274E0E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74E0E" w:rsidRPr="001336EA" w:rsidRDefault="00274E0E" w:rsidP="00274E0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336EA" w:rsidRDefault="00274E0E" w:rsidP="00274E0E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E273B6" w:rsidRDefault="00274E0E" w:rsidP="00274E0E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38553,3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6233,8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Pr="00177772" w:rsidRDefault="00274E0E" w:rsidP="00274E0E">
            <w:pPr>
              <w:jc w:val="center"/>
            </w:pPr>
            <w:r w:rsidRPr="00177772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74E0E" w:rsidRDefault="00274E0E" w:rsidP="00274E0E">
            <w:pPr>
              <w:jc w:val="center"/>
            </w:pPr>
            <w:r w:rsidRPr="00177772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40530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0530A" w:rsidP="00445504">
            <w:pPr>
              <w:jc w:val="center"/>
            </w:pPr>
            <w:r>
              <w:rPr>
                <w:sz w:val="18"/>
                <w:szCs w:val="18"/>
              </w:rPr>
              <w:t>5044,3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F4003F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EB359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274E0E" w:rsidP="00EB3594">
            <w:pPr>
              <w:jc w:val="center"/>
            </w:pPr>
            <w:r>
              <w:t>37747,3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274E0E" w:rsidP="00EB3594">
            <w:pPr>
              <w:jc w:val="center"/>
            </w:pPr>
            <w:r>
              <w:t>5427,8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C3EF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EB359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274E0E" w:rsidP="00EB3594">
            <w:pPr>
              <w:jc w:val="center"/>
            </w:pPr>
            <w:r>
              <w:t>37072,9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274E0E" w:rsidP="00EB3594">
            <w:pPr>
              <w:jc w:val="center"/>
            </w:pPr>
            <w:r>
              <w:t>5377,8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</w:t>
            </w:r>
            <w:bookmarkStart w:id="0" w:name="_GoBack"/>
            <w:bookmarkEnd w:id="0"/>
            <w:r w:rsidRPr="00CA4E08">
              <w:t>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A4E08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274E0E" w:rsidP="00445504">
            <w:pPr>
              <w:jc w:val="center"/>
            </w:pPr>
            <w:r>
              <w:t>806,0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83" w:rsidRDefault="00441583">
      <w:r>
        <w:separator/>
      </w:r>
    </w:p>
  </w:endnote>
  <w:endnote w:type="continuationSeparator" w:id="0">
    <w:p w:rsidR="00441583" w:rsidRDefault="0044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E68" w:rsidRDefault="00FB2E68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2E68" w:rsidRDefault="00FB2E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83" w:rsidRDefault="00441583">
      <w:r>
        <w:separator/>
      </w:r>
    </w:p>
  </w:footnote>
  <w:footnote w:type="continuationSeparator" w:id="0">
    <w:p w:rsidR="00441583" w:rsidRDefault="0044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FB2E68" w:rsidRDefault="00FB2E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2E68" w:rsidRDefault="00FB2E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0530A"/>
    <w:rsid w:val="00410BA5"/>
    <w:rsid w:val="004111BA"/>
    <w:rsid w:val="00420FA4"/>
    <w:rsid w:val="0042489B"/>
    <w:rsid w:val="00425525"/>
    <w:rsid w:val="00426B02"/>
    <w:rsid w:val="00427B3E"/>
    <w:rsid w:val="0043550D"/>
    <w:rsid w:val="00441583"/>
    <w:rsid w:val="00441A66"/>
    <w:rsid w:val="004429FF"/>
    <w:rsid w:val="0044367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1C8C"/>
    <w:rsid w:val="00622CCF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583F"/>
    <w:rsid w:val="007C6621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62DD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3D81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1731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3892"/>
    <w:rsid w:val="00B3531A"/>
    <w:rsid w:val="00B36BAC"/>
    <w:rsid w:val="00B36F56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C01458"/>
    <w:rsid w:val="00C04B14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5C3D0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EF3B-7A8E-4499-9391-EE0DCBA3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10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11656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43</cp:revision>
  <cp:lastPrinted>2022-12-05T09:56:00Z</cp:lastPrinted>
  <dcterms:created xsi:type="dcterms:W3CDTF">2019-05-29T12:12:00Z</dcterms:created>
  <dcterms:modified xsi:type="dcterms:W3CDTF">2022-12-05T10:02:00Z</dcterms:modified>
</cp:coreProperties>
</file>