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переходе на исчисление налога на имущество от кадастровой стоимости объектов недвижимого имущества</w:t>
      </w:r>
    </w:p>
    <w:p w:rsid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на имущество физических лиц устанавливается главой 32 Налогового Кодекса РФ и нормативными правовыми актами представительных органов муниципальных образований.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Устанавливая налог, представительные органы муниципальных образований  определяют налоговые ставки в пределах, установленных настоящей главой, и особенности определения налоговой базы в соответствии с настоящей главой.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не предусмотренные настоящей главой, основания и порядок их применения налогоплательщиками.</w:t>
      </w: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Налогоплательщиками налога на имущество  признаются физические лица, обладающие правом собственности на имущество, признаваемое объектом налогообложения в соответствии со </w:t>
      </w:r>
      <w:hyperlink r:id="rId4" w:history="1">
        <w:r w:rsidRPr="00B47271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статьей 401</w:t>
        </w:r>
      </w:hyperlink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Налогового Кодекса РФ.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Объектом налогообложения признается расположенное в пределах муниципального образования  следующее имущество: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жилой дом;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жилое помещение (квартира, комната);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гараж, машино-место;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единый недвижимый комплекс;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объект незавершенного строительства;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иные здание, строение, сооружение, помещение.</w:t>
      </w: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настоящей главы дома и </w:t>
      </w:r>
      <w:hyperlink r:id="rId5" w:history="1">
        <w:r w:rsidRPr="00B47271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жилые строения</w:t>
        </w:r>
      </w:hyperlink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 территории Ростовской области исчисление налога на имущество физических лиц осуществляется исходя из инвентаризационной стоимости, сложившейся по состоянию на 01.01.2013 года.</w:t>
      </w: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Налоговая база определяется в отношении каждого объекта налогообложения как его инвентаризационная стоимость, исчисленная с учетом </w:t>
      </w:r>
      <w:hyperlink r:id="rId6" w:history="1">
        <w:r w:rsidRPr="00B47271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коэффициента-дефлятора</w:t>
        </w:r>
      </w:hyperlink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Коэффициент-дефлятор, необходимый в целях применения </w:t>
      </w:r>
      <w:hyperlink r:id="rId7" w:history="1">
        <w:r w:rsidRPr="00B47271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главы 32</w:t>
        </w:r>
      </w:hyperlink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«Налог на имущество физических лиц» НК РФ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0"/>
        <w:gridCol w:w="1560"/>
        <w:gridCol w:w="4114"/>
      </w:tblGrid>
      <w:tr w:rsidR="00B47271" w:rsidRPr="00B47271" w:rsidTr="00B47271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Период, на который установлен коэффициент-дефлятор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Основание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2015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1,147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Минэкономразвития России от 29.10.2015 № 685</w:t>
            </w:r>
          </w:p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1,329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0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Минэкономразвития России от 20.10.2015 № 772;</w:t>
            </w:r>
          </w:p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1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Информация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Минэкономразвития России ("Российская газета", № 266, 25.11.2015);</w:t>
            </w:r>
          </w:p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2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1,425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3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Приказ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Минэкономразвития России от 03.11.2016 № 698;</w:t>
            </w:r>
          </w:p>
          <w:p w:rsidR="00B47271" w:rsidRPr="00B47271" w:rsidRDefault="00913539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4" w:history="1">
              <w:r w:rsidR="00B47271" w:rsidRPr="00B47271">
                <w:rPr>
                  <w:rFonts w:ascii="Times New Roman" w:eastAsia="Times New Roman" w:hAnsi="Times New Roman" w:cs="Times New Roman"/>
                  <w:color w:val="041FE9"/>
                  <w:sz w:val="28"/>
                  <w:szCs w:val="28"/>
                  <w:lang w:eastAsia="ru-RU"/>
                </w:rPr>
                <w:t>ст. 404</w:t>
              </w:r>
            </w:hyperlink>
            <w:r w:rsidR="00B47271"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НК РФ</w:t>
            </w:r>
          </w:p>
        </w:tc>
      </w:tr>
    </w:tbl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Налоговые ставки устанавливаются нормативными правовыми актами представительных органов муниципальных образований.</w:t>
      </w:r>
    </w:p>
    <w:p w:rsidR="00B47271" w:rsidRPr="00B47271" w:rsidRDefault="00B47271" w:rsidP="00B4727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определения налоговой базы исходя из инвентаризационной стоимости налоговые ставки устанавливаются на основ</w:t>
      </w:r>
      <w:r w:rsidR="00D20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умноженной на </w:t>
      </w:r>
      <w:hyperlink r:id="rId15" w:history="1">
        <w:r w:rsidRPr="00B47271">
          <w:rPr>
            <w:rFonts w:ascii="Times New Roman" w:eastAsia="Times New Roman" w:hAnsi="Times New Roman" w:cs="Times New Roman"/>
            <w:color w:val="041FE9"/>
            <w:sz w:val="28"/>
            <w:szCs w:val="28"/>
            <w:lang w:eastAsia="ru-RU"/>
          </w:rPr>
          <w:t>коэффициент-дефлятор</w:t>
        </w:r>
      </w:hyperlink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пределах: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0"/>
        <w:gridCol w:w="3480"/>
      </w:tblGrid>
      <w:tr w:rsidR="00B47271" w:rsidRPr="00B47271" w:rsidTr="00B47271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300 000 рублей включительно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0,1 процента включительно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Свыше 300 000 до 500 000 рублей включительно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Свыше 0,1 до 0,3 процента включительно</w:t>
            </w:r>
          </w:p>
        </w:tc>
      </w:tr>
      <w:tr w:rsidR="00B47271" w:rsidRPr="00B47271" w:rsidTr="00B47271">
        <w:trPr>
          <w:tblCellSpacing w:w="0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Свыше 500 000 рублей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Свыше 0,3 до 2,0 процента </w:t>
            </w: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включительно</w:t>
            </w:r>
          </w:p>
        </w:tc>
      </w:tr>
    </w:tbl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 расчета налога на имущество физических лиц от инвентаризационной стоимости  за 2015 год: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Инвентаризационная стоимость жилого дома – 253728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 - дефлятор – 1,147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Ставка налога – 0,1%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на имущество –  253728 х 1,147 х 0,1% = 291 рубль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Подробную информацию о действующих налоговых ставках  и льготах можно узнать на сайте www.nalog.ru, по бесплатному номеру Единого контакт-центра ФНС России 8-800-222-22-22» или в налоговой инспекции.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 году проведена оценка кадастровой стоимости объектов недвижимости.  Результаты государственной кадастровой оценки объектов недвижимости утверждены постановлением Правительства Ростовской области от 27.12.2016 № 881 «Об утверждении результатов определения кадастровой стоимости объектов недвижимости, расположенных на территории Ростовской области». 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результатами кадастровой оценки объектов недвижимости можно на следующих информационных ресурсах: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официальном сайте Правительства Ростовской области в подразделе «Кадастровая оценка» раздела «Экономика»;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официальном портале правовой информации Ростовской области pravo.donland.ru;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официальных сайтах Администрации </w:t>
      </w:r>
      <w:r w:rsidR="00D20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Зимовниковского</w:t>
      </w:r>
      <w:r w:rsidR="00884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роайона ( раздел «Финансовый отдел»- «Бюджет для граждан»)</w:t>
      </w: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сельских поселений района.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также можно получить непосредственно у специалистов Администраций сельских поселений.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принятия решения об определении налоговой базы исходя  из кадастровой стоимости,  расчет будет произведен примерно следующим образом.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Ставка налога для жилых домов, жилых помещений, гаражей, хозяйственных строений – 0,1% от кадастровой стоимости (должна быть установлена нормативными правовыми актами представительных органов муниципальных образований).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Налоговая база определяется в отношении каждого жилого объекта недвижимости за вычетом стоимости определенного количества квадратных метров в зависимости от его вида (вычеты установлены ст.403 Налогового кодекса).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5"/>
        <w:gridCol w:w="2550"/>
      </w:tblGrid>
      <w:tr w:rsidR="00B47271" w:rsidRPr="00B47271" w:rsidTr="00B47271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объекта недвижимости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Вычет</w:t>
            </w:r>
          </w:p>
        </w:tc>
      </w:tr>
      <w:tr w:rsidR="00B47271" w:rsidRPr="00B47271" w:rsidTr="00B47271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Квартира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Кадастровая стоимость 20 кв. м</w:t>
            </w:r>
          </w:p>
        </w:tc>
      </w:tr>
      <w:tr w:rsidR="00B47271" w:rsidRPr="00B47271" w:rsidTr="00B47271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Комната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Кадастровая стоимость 10 кв. м</w:t>
            </w:r>
          </w:p>
        </w:tc>
      </w:tr>
      <w:tr w:rsidR="00B47271" w:rsidRPr="00B47271" w:rsidTr="00B47271">
        <w:trPr>
          <w:tblCellSpacing w:w="0" w:type="dxa"/>
        </w:trPr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271" w:rsidRPr="00B47271" w:rsidRDefault="00B47271" w:rsidP="00B4727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472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Кадастровая стоимость 50 кв. м</w:t>
            </w:r>
          </w:p>
        </w:tc>
      </w:tr>
    </w:tbl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переходный 4-летний период,  в целях снижения налоговой нагрузки на граждан, предусмотрен особый порядок расчета: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сумма налога, исчисленная исходя из кадастровой стоимости, превысит сумму налога, рассчитанную за последний налоговый период исходя из инвентаризационной стоимости, налог будет рассчитываться по специальной формуле: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Н= (Н1-Н2)хК+Н2,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 - сумма налога, подлежащая уплате;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Н1 - сумма налога, исчисленная из расчета кадастровой стоимости;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Н2 - сумма налога, исчисленная исходя из соответствующей инвентаризационной стоимости объекта налогообложения за последний налоговый период;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- коэффициент, предусматривающий плавное увеличение налога в течение 4-х лет, который равен: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0,2 - применительно к первому налоговому периоду;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0,4 - применительно ко второму налоговому периоду;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0,6 - применительно к третьему налоговому периоду;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0,8 - применительно к четвертому налоговому периоду.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сумма налога, исчисленная по кадастровой стоимости, будет меньше суммы налога, исчисленной из инвентаризационной стоимости, налог будет рассчитан налогоплательщику в полном объеме исходя из кадастровой стоимости.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расчета налога на имущество физических лиц от кадастровой  стоимости (жилой дом  площадью 81,3 м2):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налога исчисленная исходя из инвентаризационной стоимости за последний налоговый период,  предшествующий периоду в котором принято решение об исчислении исходя из кадастровой стоимости, условно -  291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Кадастровая стоимость – 1 630 854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Ставка налога – 0,1%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Налоговый вычет (определение стоимости 50 м2) –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1 630 854 руб. / 81,3 м2 х 50 м2 = 1 002 985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Налоговая база –  1 630 854 руб. - 1 002 985 руб. = 627869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налога, исчисленная от кадастровой стоимости – 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627869,00   x  0, 1% = 628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примере расчета сумма налога, исчисленная по кадастровой стоимости, выше суммы налога, рассчитанной за последний налоговый период исходя из инвентаризационной стоимости (337 руб.).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налога  за первый налоговый период – (628 руб.– 291 руб.) x 0,2 + 291 руб. =  358руб.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налога к уплате за второй налоговый период составит  426 руб. и т.д. до полной суммы налога  на пятый налоговый период  -  628 руб.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Представленный расчет демонстрирует прямую зависимость налога на объект недвижимости от кадастровой стоимости объекта налогообложения. В связи с этим каждому налогоплательщику необходимо своевременно ознакомиться с результатами кадастровой оценки объектов недвижимости и оценить ее адекватность.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оценить адекватность определенной кадастровой стоимости?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кадастровая оценка объектов недвижимости проведена в соответствии с законодательством об оценочной деятельности, согласно которому кадастровая стоимость объекта недвижимости приближена к его рыночной стоимости.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для вынесения суждения о правильности определения кадастровой стоимости объекта недвижимости надлежит сопоставлять ее с предполагаемой рыночной стоимостью на данный объект недвижимости по состоянию на 1 января 2016 года (дата оценки).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квартир кадастровая стоимость должна быть близка к рыночной (продажной) стоимости, сложившейся на рынке, и отклоняться от нее не более чем на 25-30% в большую или меньшую сторону.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домов кадастровую стоимость основного строения нужно сложить с кадастровой стоимостью земельного участка и сравнить полученное значение с рыночной стоимостью домовладения. Отклонения также не должны превышать 25-30% в большую или меньшую сторону.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если кадастровая стоимость определена с «ошибками», то есть не соответствует рыночной стоимости?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осуществить проверку технических характеристик объекта недвижимости, учтенных в Едином государственном реестре недвижимости (далее ЕГРН), на предмет их соответствия фактическим, то есть сверить год постройки, материал стен, перекрытий, кровли, площадь, адресные характеристики и т.д.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наличия ошибок нужно внести правильные характеристики в состав сведений ЕГРН путем обращения в орган кадастрового учета, многофункциональный центр предоставления государственных и муниципальных услуг или к кадастровому инженеру, с целью исключения ошибок определения кадастровой стоимости в дальнейшем.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если объект недвижимости отсутствует в постановлении об утверждении результатов определения кадастровой стоимости?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объекта и, соответственно, кадастровой стоимости в постановлении Правительства Ростовской области от 27.12.2016 № 881 «Об утверждении результатов определения кадастровой стоимости объектов недвижимости, расположенных на территории Ростовской области» может быть обусловлено следующими причинами: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 недвижимости был образован и поставлен на кадастровый учет после 01.01.2016 (дата оценки);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либо противоречивость характеристик объектов недвижимости, содержащихся в сведениях Единого государственного реестра недвижимости.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 правообладателям объектов недвижимости необходимо проверить характеристики объектов, содержащиеся в ЕГРН, и принять меры по их уточнению.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Кадастровая стоимость указанных объектов недвижимости будет определена органом регистрации прав в 2018 году после внесения в ЕГРН утвержденных результатов определения кадастровой стоимости.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оспорить кадастровую стоимость объектов недвижимости?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Кадастровую стоимость объектов недвижимости, утвержденную постановлением Правительства Ростовской области от 27.12.2016 № 881, возможно оспорить только после вступления в силу указанного постановления и внесения утвержденных результатов определения кадастровой стоимости в ЕГРН, но не ранее 1 января 2018 года.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ст. 24.18 Федерального закона от 29.07.1998 № 135-ФЗ «Об оценочной деятельности в Российской Федерации» для оспаривания кадастровой стоимости необходимо обращаться в комиссию по рассмотрению споров о результатах </w:t>
      </w: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определения кадастровой стоимости при Управлении Росреестра по Ростовской области (далее </w:t>
      </w: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> Комиссия) или Областной суд.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юридические лица могут обратиться в суд 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указанной статьей срок.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Основаниями для пересмотра результатов определения кадастровой стоимости являются: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недостоверность сведений об объекте недвижимости, использованных при определении его кадастровой стоимости (неправильно определенный вид разрешенного использования объекта, неправильно учтенная площадь или местоположение);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обращения в Комиссию или суд нужно составить заявление, в котором указать причины несогласия и приложить документы подтверждающие доводы заявления или отчет об определении рыночной стоимости. Также, к заявлению прилагаются правоудостоверяющие документы и справка о кадастровой стоимости.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осуществляет свою деятельность по адресу: г. Ростов-на-Дону, пр. Сиверса, д. 22, к. 318.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заявлений о пересмотре результатов определения кадастровой стоимости объектов недвижимости осуществляется в рабочие дни с 9.00 – 13.00 и 14.00 </w:t>
      </w: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17.30  по адресу: г. Ростов-на-Дону, пр. Сиверса, д. 22, к. 318.</w:t>
      </w:r>
    </w:p>
    <w:p w:rsidR="00B47271" w:rsidRPr="00B47271" w:rsidRDefault="00B47271" w:rsidP="00B47271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Почтовой связью заявления о пересмотре результатов определения кадастровой стоимости объектов недвижимости следует направлять по адресу: 344002, г. Ростов-на-Дону, пер. Соборный, 2а. Контактный телефон Комиссии: 8(938)169-53-22.</w:t>
      </w:r>
    </w:p>
    <w:p w:rsidR="00184D76" w:rsidRPr="00B47271" w:rsidRDefault="00184D76" w:rsidP="00B47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D76" w:rsidRPr="00B47271" w:rsidSect="00B47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47271"/>
    <w:rsid w:val="00123E0D"/>
    <w:rsid w:val="00184D76"/>
    <w:rsid w:val="00496DCB"/>
    <w:rsid w:val="00884AB8"/>
    <w:rsid w:val="00913539"/>
    <w:rsid w:val="00B47271"/>
    <w:rsid w:val="00D2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271"/>
  </w:style>
  <w:style w:type="character" w:styleId="a4">
    <w:name w:val="Hyperlink"/>
    <w:basedOn w:val="a0"/>
    <w:uiPriority w:val="99"/>
    <w:semiHidden/>
    <w:unhideWhenUsed/>
    <w:rsid w:val="00B47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F8EFEAB483F414D0C833117B2738FFF2C4BC141690196AD885922D69233F43FB48D4F6615BAF8h1u4L" TargetMode="External"/><Relationship Id="rId13" Type="http://schemas.openxmlformats.org/officeDocument/2006/relationships/hyperlink" Target="consultantplus://offline/ref=C81F8EFEAB483F414D0C833117B2738FFC2B4DC040690196AD885922D69233F43FB48D4F6615BAF8h1u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1F8EFEAB483F414D0C833117B2738FFC2B4AC3406B0196AD885922D69233F43FB48D4F6616BBhFuFL" TargetMode="External"/><Relationship Id="rId12" Type="http://schemas.openxmlformats.org/officeDocument/2006/relationships/hyperlink" Target="consultantplus://offline/ref=C81F8EFEAB483F414D0C833117B2738FFC2B42C04F650196AD885922D69233F43FB48D4F6616BFhFu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A9A8C5CE3F11882161429370643AA7A355428EFDE622B2D04405F46C678253B2BD5369FD4AF17k1L" TargetMode="External"/><Relationship Id="rId11" Type="http://schemas.openxmlformats.org/officeDocument/2006/relationships/hyperlink" Target="consultantplus://offline/ref=C81F8EFEAB483F414D0C833117B2738FFF2343C24A690196AD885922D69233F43FB48D4F6615BAF8h1u0L" TargetMode="External"/><Relationship Id="rId5" Type="http://schemas.openxmlformats.org/officeDocument/2006/relationships/hyperlink" Target="consultantplus://offline/ref=9C31144BEFC3C9FD9765C94C708F6E67F513565C1C025A5E385644C08115E1C7316329161AC9C7B4w5fAL" TargetMode="External"/><Relationship Id="rId15" Type="http://schemas.openxmlformats.org/officeDocument/2006/relationships/hyperlink" Target="consultantplus://offline/ref=5561C99293E8D4CB2955196927477BF388D8387D5F10C92A5BCFAA0638A5551CCE853472D03714E0s7L" TargetMode="External"/><Relationship Id="rId10" Type="http://schemas.openxmlformats.org/officeDocument/2006/relationships/hyperlink" Target="consultantplus://offline/ref=C81F8EFEAB483F414D0C833117B2738FFF2343C04A680196AD885922D69233F43FB48D4F6615BAF8h1u4L" TargetMode="External"/><Relationship Id="rId4" Type="http://schemas.openxmlformats.org/officeDocument/2006/relationships/hyperlink" Target="consultantplus://offline/ref=AE6CD953D114051CBB05CF8A3E1E70212441BEEC00819FCD57480B5A97FD6CF7D3B4E484E5CD1BE8fDL" TargetMode="External"/><Relationship Id="rId9" Type="http://schemas.openxmlformats.org/officeDocument/2006/relationships/hyperlink" Target="consultantplus://offline/ref=C81F8EFEAB483F414D0C833117B2738FFF224BC24B6B0196AD885922D69233F43FB48D4F6616BFhFuAL" TargetMode="External"/><Relationship Id="rId14" Type="http://schemas.openxmlformats.org/officeDocument/2006/relationships/hyperlink" Target="consultantplus://offline/ref=C81F8EFEAB483F414D0C833117B2738FFC2B4AC3406B0196AD885922D69233F43FB48D4F6616BFhF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12508</Characters>
  <Application>Microsoft Office Word</Application>
  <DocSecurity>0</DocSecurity>
  <Lines>104</Lines>
  <Paragraphs>29</Paragraphs>
  <ScaleCrop>false</ScaleCrop>
  <Company>Microsoft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2017-08-08T07:15:00Z</dcterms:created>
  <dcterms:modified xsi:type="dcterms:W3CDTF">2017-08-08T07:15:00Z</dcterms:modified>
</cp:coreProperties>
</file>